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36D" w:rsidRDefault="006A236D" w:rsidP="00173A6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b/>
          <w:caps/>
        </w:rPr>
      </w:pPr>
      <w:r w:rsidRPr="006A236D">
        <w:rPr>
          <w:b/>
          <w:caps/>
        </w:rPr>
        <w:t>Système National des Données de Santé (SNDS)</w:t>
      </w:r>
    </w:p>
    <w:p w:rsidR="00DD717C" w:rsidRDefault="00DD717C" w:rsidP="00173A69"/>
    <w:p w:rsidR="00DD717C" w:rsidRDefault="00DD717C" w:rsidP="00173A69">
      <w:pPr>
        <w:pBdr>
          <w:bottom w:val="single" w:sz="8" w:space="1" w:color="C00000"/>
        </w:pBdr>
      </w:pPr>
      <w:r>
        <w:t>Informations générales</w:t>
      </w:r>
    </w:p>
    <w:p w:rsidR="006A236D" w:rsidRPr="002E0838" w:rsidRDefault="006A236D" w:rsidP="00173A69">
      <w:pPr>
        <w:rPr>
          <w:b/>
        </w:rPr>
      </w:pPr>
      <w:r>
        <w:rPr>
          <w:b/>
        </w:rPr>
        <w:t>Le SNDS en quelques mots (opérateur, description, objectifs…)</w:t>
      </w:r>
    </w:p>
    <w:p w:rsidR="00B1534D" w:rsidRDefault="00B1534D" w:rsidP="00173A69">
      <w:r>
        <w:t xml:space="preserve">Géré par la Caisse </w:t>
      </w:r>
      <w:r w:rsidR="006A236D" w:rsidRPr="006A236D">
        <w:t>Nationale de l'Assurance Maladie des</w:t>
      </w:r>
      <w:r>
        <w:t xml:space="preserve"> Travailleurs Salariés (CNAMTS), le SNDS doit à terme regrouper et chaîner les principales bases de données de santé nationales : les données de l’Assurance maladie (SNIIRAM), les données des hospitalisations (PMSI), les données des causes médicales de décès (</w:t>
      </w:r>
      <w:proofErr w:type="spellStart"/>
      <w:r>
        <w:t>CépiDC</w:t>
      </w:r>
      <w:proofErr w:type="spellEnd"/>
      <w:r>
        <w:t xml:space="preserve">), les données relatives au handicap (SI harmonisé des MDPH), ainsi qu’un échantillon de données en provenance des organismes d’Assurance maladie complémentaire. Mi-2019, le SNDS contient d’ores et déjà les données chaînées du PMSI, du SNIIRAM et du </w:t>
      </w:r>
      <w:proofErr w:type="spellStart"/>
      <w:r>
        <w:t>CépiDC</w:t>
      </w:r>
      <w:proofErr w:type="spellEnd"/>
      <w:r>
        <w:t xml:space="preserve">. </w:t>
      </w:r>
    </w:p>
    <w:p w:rsidR="00B1534D" w:rsidRDefault="00B1534D" w:rsidP="00173A69">
      <w:r>
        <w:t xml:space="preserve">La mise en place du SNDS </w:t>
      </w:r>
      <w:r w:rsidR="0074762E">
        <w:t>poursuit un objectif de connaissance de l’état de santé de la population française par la possibilité offerte de conduire des études, des recherches et des évaluations</w:t>
      </w:r>
    </w:p>
    <w:p w:rsidR="00EC0980" w:rsidRDefault="00102844" w:rsidP="00173A69">
      <w:r>
        <w:t>Les objectifs du SNDS sont de mettre à</w:t>
      </w:r>
      <w:r w:rsidR="00EC0980">
        <w:t xml:space="preserve"> disposition des données afin de favoriser les études, recherches ou évaluation</w:t>
      </w:r>
      <w:r>
        <w:t>s</w:t>
      </w:r>
      <w:r w:rsidR="00EC0980">
        <w:t xml:space="preserve"> présentant un caractère d’intérêt public et contribuant à l’une des finalités suivantes :</w:t>
      </w:r>
    </w:p>
    <w:p w:rsidR="00EC0980" w:rsidRDefault="00EC0980" w:rsidP="00173A69">
      <w:pPr>
        <w:pStyle w:val="Paragraphedeliste"/>
        <w:numPr>
          <w:ilvl w:val="0"/>
          <w:numId w:val="3"/>
        </w:numPr>
      </w:pPr>
      <w:r>
        <w:t>à l’information sur la santé ;</w:t>
      </w:r>
    </w:p>
    <w:p w:rsidR="00EC0980" w:rsidRDefault="00EC0980" w:rsidP="00173A69">
      <w:pPr>
        <w:pStyle w:val="Paragraphedeliste"/>
        <w:numPr>
          <w:ilvl w:val="0"/>
          <w:numId w:val="3"/>
        </w:numPr>
      </w:pPr>
      <w:r>
        <w:t>à la mise en œuvre des politiques de santé ;</w:t>
      </w:r>
    </w:p>
    <w:p w:rsidR="00EC0980" w:rsidRDefault="00EC0980" w:rsidP="00173A69">
      <w:pPr>
        <w:pStyle w:val="Paragraphedeliste"/>
        <w:numPr>
          <w:ilvl w:val="0"/>
          <w:numId w:val="3"/>
        </w:numPr>
      </w:pPr>
      <w:r>
        <w:t>à la connaissance des dépenses de santé ;</w:t>
      </w:r>
    </w:p>
    <w:p w:rsidR="00EC0980" w:rsidRDefault="00EC0980" w:rsidP="00173A69">
      <w:pPr>
        <w:pStyle w:val="Paragraphedeliste"/>
        <w:numPr>
          <w:ilvl w:val="0"/>
          <w:numId w:val="3"/>
        </w:numPr>
      </w:pPr>
      <w:r>
        <w:t>à l’information des professionnels et des établissements sur leurs activités ;</w:t>
      </w:r>
    </w:p>
    <w:p w:rsidR="00EC0980" w:rsidRDefault="00EC0980" w:rsidP="00173A69">
      <w:pPr>
        <w:pStyle w:val="Paragraphedeliste"/>
        <w:numPr>
          <w:ilvl w:val="0"/>
          <w:numId w:val="3"/>
        </w:numPr>
      </w:pPr>
      <w:r>
        <w:t>à l'innovation dans les domaines de la santé et de la prise en charge médico-sociale ;</w:t>
      </w:r>
    </w:p>
    <w:p w:rsidR="00EC0980" w:rsidRDefault="00EC0980" w:rsidP="00173A69">
      <w:pPr>
        <w:pStyle w:val="Paragraphedeliste"/>
        <w:numPr>
          <w:ilvl w:val="0"/>
          <w:numId w:val="3"/>
        </w:numPr>
      </w:pPr>
      <w:r>
        <w:t>à la surveillance, à la veille et à la sécurité sanitaire.</w:t>
      </w:r>
    </w:p>
    <w:p w:rsidR="0096511F" w:rsidRPr="00EF5562" w:rsidRDefault="0096511F" w:rsidP="00173A69">
      <w:pPr>
        <w:rPr>
          <w:b/>
        </w:rPr>
      </w:pPr>
      <w:r w:rsidRPr="00EF5562">
        <w:rPr>
          <w:b/>
        </w:rPr>
        <w:t>Champ</w:t>
      </w:r>
    </w:p>
    <w:p w:rsidR="00F06F62" w:rsidRPr="00F06F62" w:rsidRDefault="0096511F" w:rsidP="00173A69">
      <w:r>
        <w:t>Pour plus d’information sur le champ de chacune des bases, se référer aux fiches des bases de données correspondantes.</w:t>
      </w:r>
      <w:r w:rsidR="00F06F62">
        <w:t xml:space="preserve"> </w:t>
      </w:r>
    </w:p>
    <w:p w:rsidR="00C94229" w:rsidRPr="002E0838" w:rsidRDefault="00C94229" w:rsidP="00173A69">
      <w:pPr>
        <w:rPr>
          <w:b/>
        </w:rPr>
      </w:pPr>
      <w:r>
        <w:rPr>
          <w:b/>
        </w:rPr>
        <w:t>Quelles informations sont disponibles ?</w:t>
      </w:r>
    </w:p>
    <w:p w:rsidR="00C94229" w:rsidRDefault="007E4F0B" w:rsidP="00173A69">
      <w:r>
        <w:t>Les informations disponibles sont celles des bases de données qui composent le SNDS. Il n’y a pas de perte d’informations</w:t>
      </w:r>
      <w:r w:rsidR="005535D6">
        <w:t xml:space="preserve"> lors du versement au SNDS.</w:t>
      </w:r>
      <w:r w:rsidR="00F06F62">
        <w:t xml:space="preserve"> </w:t>
      </w:r>
    </w:p>
    <w:p w:rsidR="00BB36EF" w:rsidRPr="00FE1E2B" w:rsidRDefault="00BB36EF" w:rsidP="00173A69">
      <w:r>
        <w:rPr>
          <w:b/>
        </w:rPr>
        <w:t>Existe-t-il des possibilités de couplage</w:t>
      </w:r>
      <w:r w:rsidRPr="002E0838">
        <w:rPr>
          <w:b/>
        </w:rPr>
        <w:t xml:space="preserve"> avec d’autres bases</w:t>
      </w:r>
      <w:r>
        <w:rPr>
          <w:b/>
        </w:rPr>
        <w:t> ?</w:t>
      </w:r>
    </w:p>
    <w:p w:rsidR="00B53370" w:rsidRPr="0052796D" w:rsidRDefault="00AD567A" w:rsidP="00173A69">
      <w:pPr>
        <w:rPr>
          <w:color w:val="000000" w:themeColor="text1"/>
        </w:rPr>
      </w:pPr>
      <w:r>
        <w:t xml:space="preserve">Le SNDS peut </w:t>
      </w:r>
      <w:r w:rsidRPr="0052796D">
        <w:rPr>
          <w:color w:val="000000" w:themeColor="text1"/>
        </w:rPr>
        <w:t>être couplé avec des enquêtes.</w:t>
      </w:r>
      <w:r w:rsidR="00BB36EF" w:rsidRPr="0052796D">
        <w:rPr>
          <w:color w:val="000000" w:themeColor="text1"/>
        </w:rPr>
        <w:t xml:space="preserve"> </w:t>
      </w:r>
      <w:r w:rsidR="0052796D" w:rsidRPr="0052796D">
        <w:rPr>
          <w:color w:val="000000" w:themeColor="text1"/>
        </w:rPr>
        <w:t>Le chaînage peut se faire de plusieurs façons :</w:t>
      </w:r>
    </w:p>
    <w:p w:rsidR="0052796D" w:rsidRDefault="0052796D" w:rsidP="00173A69">
      <w:pPr>
        <w:pStyle w:val="Paragraphedeliste"/>
        <w:numPr>
          <w:ilvl w:val="0"/>
          <w:numId w:val="3"/>
        </w:numPr>
        <w:rPr>
          <w:color w:val="000000" w:themeColor="text1"/>
        </w:rPr>
      </w:pPr>
      <w:r>
        <w:rPr>
          <w:color w:val="000000" w:themeColor="text1"/>
        </w:rPr>
        <w:t xml:space="preserve">via le </w:t>
      </w:r>
      <w:r w:rsidRPr="0052796D">
        <w:rPr>
          <w:color w:val="000000" w:themeColor="text1"/>
        </w:rPr>
        <w:t xml:space="preserve">NIR </w:t>
      </w:r>
      <w:r>
        <w:rPr>
          <w:color w:val="000000" w:themeColor="text1"/>
        </w:rPr>
        <w:t>si celui-ci est disponible ;</w:t>
      </w:r>
    </w:p>
    <w:p w:rsidR="0052796D" w:rsidRDefault="0052796D" w:rsidP="00173A69">
      <w:pPr>
        <w:pStyle w:val="Paragraphedeliste"/>
        <w:numPr>
          <w:ilvl w:val="0"/>
          <w:numId w:val="3"/>
        </w:numPr>
        <w:rPr>
          <w:color w:val="000000" w:themeColor="text1"/>
        </w:rPr>
      </w:pPr>
      <w:r>
        <w:rPr>
          <w:color w:val="000000" w:themeColor="text1"/>
        </w:rPr>
        <w:t>via l</w:t>
      </w:r>
      <w:r w:rsidRPr="0052796D">
        <w:rPr>
          <w:color w:val="000000" w:themeColor="text1"/>
        </w:rPr>
        <w:t xml:space="preserve">e nom, </w:t>
      </w:r>
      <w:r>
        <w:rPr>
          <w:color w:val="000000" w:themeColor="text1"/>
        </w:rPr>
        <w:t xml:space="preserve">le </w:t>
      </w:r>
      <w:r w:rsidRPr="0052796D">
        <w:rPr>
          <w:color w:val="000000" w:themeColor="text1"/>
        </w:rPr>
        <w:t xml:space="preserve">prénom, </w:t>
      </w:r>
      <w:r>
        <w:rPr>
          <w:color w:val="000000" w:themeColor="text1"/>
        </w:rPr>
        <w:t xml:space="preserve">la </w:t>
      </w:r>
      <w:r w:rsidRPr="0052796D">
        <w:rPr>
          <w:color w:val="000000" w:themeColor="text1"/>
        </w:rPr>
        <w:t>date et</w:t>
      </w:r>
      <w:r>
        <w:rPr>
          <w:color w:val="000000" w:themeColor="text1"/>
        </w:rPr>
        <w:t xml:space="preserve"> la</w:t>
      </w:r>
      <w:r w:rsidRPr="0052796D">
        <w:rPr>
          <w:color w:val="000000" w:themeColor="text1"/>
        </w:rPr>
        <w:t xml:space="preserve"> commune de naissance </w:t>
      </w:r>
      <w:r>
        <w:rPr>
          <w:color w:val="000000" w:themeColor="text1"/>
        </w:rPr>
        <w:t xml:space="preserve">qui </w:t>
      </w:r>
      <w:r w:rsidRPr="0052796D">
        <w:rPr>
          <w:color w:val="000000" w:themeColor="text1"/>
        </w:rPr>
        <w:t xml:space="preserve">permettent grâce à un protocole déjà établi </w:t>
      </w:r>
      <w:r>
        <w:rPr>
          <w:color w:val="000000" w:themeColor="text1"/>
        </w:rPr>
        <w:t>de retrouver les NIR ;</w:t>
      </w:r>
    </w:p>
    <w:p w:rsidR="0052796D" w:rsidRPr="0052796D" w:rsidRDefault="0052796D" w:rsidP="00173A69">
      <w:pPr>
        <w:pStyle w:val="Paragraphedeliste"/>
        <w:numPr>
          <w:ilvl w:val="0"/>
          <w:numId w:val="3"/>
        </w:numPr>
        <w:rPr>
          <w:color w:val="000000" w:themeColor="text1"/>
        </w:rPr>
      </w:pPr>
      <w:r>
        <w:rPr>
          <w:color w:val="000000" w:themeColor="text1"/>
        </w:rPr>
        <w:t>s</w:t>
      </w:r>
      <w:r w:rsidRPr="0052796D">
        <w:rPr>
          <w:color w:val="000000" w:themeColor="text1"/>
        </w:rPr>
        <w:t>i aucune de ces informations</w:t>
      </w:r>
      <w:r>
        <w:rPr>
          <w:color w:val="000000" w:themeColor="text1"/>
        </w:rPr>
        <w:t xml:space="preserve"> n’est disponible, un chainage indirect</w:t>
      </w:r>
      <w:r w:rsidRPr="0052796D">
        <w:rPr>
          <w:color w:val="000000" w:themeColor="text1"/>
        </w:rPr>
        <w:t xml:space="preserve"> est possible avec des données communes aux bases : données concernant les soins, la commune de do</w:t>
      </w:r>
      <w:r>
        <w:rPr>
          <w:color w:val="000000" w:themeColor="text1"/>
        </w:rPr>
        <w:t>micile ou la date de naissance.</w:t>
      </w:r>
    </w:p>
    <w:p w:rsidR="00807529" w:rsidRPr="00173A69" w:rsidRDefault="00F77250" w:rsidP="00173A69">
      <w:pPr>
        <w:rPr>
          <w:b/>
        </w:rPr>
      </w:pPr>
      <w:r w:rsidRPr="002E0838">
        <w:rPr>
          <w:b/>
        </w:rPr>
        <w:lastRenderedPageBreak/>
        <w:t>Conditions d’accès aux données</w:t>
      </w:r>
      <w:r>
        <w:rPr>
          <w:b/>
        </w:rPr>
        <w:t xml:space="preserve"> et documentation utilisateur</w:t>
      </w:r>
    </w:p>
    <w:p w:rsidR="00807529" w:rsidRDefault="00807529" w:rsidP="00173A69">
      <w:r w:rsidRPr="00807529">
        <w:t xml:space="preserve">Toute personne ou structure, publique ou privée, à but lucratif ou non lucratif, </w:t>
      </w:r>
      <w:r>
        <w:t>peut</w:t>
      </w:r>
      <w:r w:rsidRPr="00807529">
        <w:t xml:space="preserve"> accéder aux données du SNDS sur autorisation de la CNIL, en vue de réaliser une étude, une recherche ou une évaluation présentant un intérêt public.</w:t>
      </w:r>
    </w:p>
    <w:p w:rsidR="00F665CA" w:rsidRDefault="003371E2" w:rsidP="00173A69">
      <w:r>
        <w:t>Il revient de formuler toute demande d’accès aux données auprès de l</w:t>
      </w:r>
      <w:r w:rsidR="00F665CA">
        <w:t>’Institut national des données de santé (INDS)</w:t>
      </w:r>
      <w:r>
        <w:t xml:space="preserve">, </w:t>
      </w:r>
      <w:r w:rsidR="00EA137E">
        <w:t xml:space="preserve">chargée d’engager la procédure d’évaluation des demandes (CEREES et CNIL), et d’accompagner les équipes dans la prise en main de ces données. </w:t>
      </w:r>
    </w:p>
    <w:p w:rsidR="00C41B82" w:rsidRDefault="00EA137E" w:rsidP="00173A69">
      <w:r>
        <w:t xml:space="preserve">Pour plus d’information, nous renvoyons le lecteur vers le </w:t>
      </w:r>
      <w:hyperlink r:id="rId6" w:history="1">
        <w:r w:rsidRPr="00EA137E">
          <w:rPr>
            <w:rStyle w:val="Lienhypertexte"/>
          </w:rPr>
          <w:t>site internet du SNDS</w:t>
        </w:r>
      </w:hyperlink>
      <w:r>
        <w:t xml:space="preserve">. </w:t>
      </w:r>
    </w:p>
    <w:p w:rsidR="00AC5098" w:rsidRDefault="00EA137E" w:rsidP="00173A69">
      <w:r>
        <w:t xml:space="preserve">Il semblerait qu’un délai raisonnable d’une année soit nécessaire entre le montage du dossier et le début de l’exploitation des données. </w:t>
      </w:r>
    </w:p>
    <w:p w:rsidR="00801E25" w:rsidRDefault="00801E25" w:rsidP="00173A69">
      <w:r>
        <w:t>De plus, lorsque</w:t>
      </w:r>
      <w:r w:rsidR="006F37A6">
        <w:t xml:space="preserve"> les données sont traitées sur le portail de la </w:t>
      </w:r>
      <w:r>
        <w:t>CNAM</w:t>
      </w:r>
      <w:r w:rsidR="006F37A6">
        <w:t>, l’accès à ces données est sub</w:t>
      </w:r>
      <w:r>
        <w:t>ordonné au suivi de formations (c</w:t>
      </w:r>
      <w:r w:rsidR="006F37A6">
        <w:t>ertaines sont obligatoires, d’autres optionnelles</w:t>
      </w:r>
      <w:r>
        <w:t>)</w:t>
      </w:r>
      <w:r w:rsidR="006F37A6">
        <w:t xml:space="preserve">. </w:t>
      </w:r>
      <w:r>
        <w:t xml:space="preserve"> </w:t>
      </w:r>
      <w:r w:rsidR="006F37A6">
        <w:t xml:space="preserve">Lorsque les données exploitées sont traitées en dehors du portail de la </w:t>
      </w:r>
      <w:proofErr w:type="spellStart"/>
      <w:r w:rsidR="006F37A6">
        <w:t>Cnam</w:t>
      </w:r>
      <w:proofErr w:type="spellEnd"/>
      <w:r w:rsidR="006F37A6">
        <w:t xml:space="preserve">, cette obligation de formation ne s’applique pas. </w:t>
      </w:r>
    </w:p>
    <w:p w:rsidR="00EA137E" w:rsidRDefault="00801E25" w:rsidP="00173A69">
      <w:r>
        <w:t>Lorsque ce n’est pas le cas</w:t>
      </w:r>
      <w:r w:rsidR="006F37A6">
        <w:t xml:space="preserve">, le système d’information accueillant ces données devra être conforme au </w:t>
      </w:r>
      <w:r>
        <w:t>référentiel de sécurité du SNDS,</w:t>
      </w:r>
      <w:r w:rsidR="006F37A6">
        <w:t xml:space="preserve"> qui détaille les exigences quant à la confidentialité, l’intégrité et la traçabilité des accès </w:t>
      </w:r>
      <w:r>
        <w:t>et des traitements statistiques.</w:t>
      </w:r>
    </w:p>
    <w:p w:rsidR="006F37A6" w:rsidRDefault="006F37A6" w:rsidP="00173A69"/>
    <w:p w:rsidR="00AC5098" w:rsidRDefault="00AC5098" w:rsidP="00173A69">
      <w:pPr>
        <w:pBdr>
          <w:bottom w:val="single" w:sz="8" w:space="1" w:color="C00000"/>
        </w:pBdr>
      </w:pPr>
      <w:r>
        <w:t>Informations sur le polyhandicap</w:t>
      </w:r>
    </w:p>
    <w:p w:rsidR="00AC5098" w:rsidRDefault="00AC5098" w:rsidP="00173A69">
      <w:pPr>
        <w:rPr>
          <w:b/>
        </w:rPr>
      </w:pPr>
      <w:r w:rsidRPr="002E0838">
        <w:rPr>
          <w:b/>
        </w:rPr>
        <w:t>Identification du polyhandicap (algorithmes/définition)</w:t>
      </w:r>
    </w:p>
    <w:p w:rsidR="008B4C40" w:rsidRPr="008B4C40" w:rsidRDefault="008B4C40" w:rsidP="00173A69">
      <w:r>
        <w:t>Les bases de données sont chainées et peuvent potentiellement favoriser un meilleur repérage des personnes en situation de polyhandicap.</w:t>
      </w:r>
    </w:p>
    <w:p w:rsidR="00AC5098" w:rsidRPr="002E0838" w:rsidRDefault="00AC5098" w:rsidP="00173A69">
      <w:pPr>
        <w:rPr>
          <w:b/>
        </w:rPr>
      </w:pPr>
      <w:r w:rsidRPr="002E0838">
        <w:rPr>
          <w:b/>
        </w:rPr>
        <w:t>Fiabilité du repérage</w:t>
      </w:r>
    </w:p>
    <w:p w:rsidR="008B4C40" w:rsidRDefault="008B4C40" w:rsidP="00173A69">
      <w:r>
        <w:t xml:space="preserve">Il n’y a pas de perte de données entre la base seule et son </w:t>
      </w:r>
      <w:r w:rsidR="00F2032B">
        <w:t>intégration</w:t>
      </w:r>
      <w:r>
        <w:t xml:space="preserve"> </w:t>
      </w:r>
      <w:r w:rsidR="008111AA">
        <w:t>au</w:t>
      </w:r>
      <w:r>
        <w:t xml:space="preserve"> SNDS.</w:t>
      </w:r>
    </w:p>
    <w:p w:rsidR="00AC5098" w:rsidRPr="002E0838" w:rsidRDefault="00AC5098" w:rsidP="00173A69">
      <w:pPr>
        <w:rPr>
          <w:b/>
        </w:rPr>
      </w:pPr>
      <w:r w:rsidRPr="002E0838">
        <w:rPr>
          <w:b/>
        </w:rPr>
        <w:t>Nombre d’individus</w:t>
      </w:r>
    </w:p>
    <w:p w:rsidR="00D441FA" w:rsidRDefault="00D441FA" w:rsidP="00173A69">
      <w:r>
        <w:t>A ce stade, le nombre de personne en situation de polyhandicap n’est pas identifiable.</w:t>
      </w:r>
    </w:p>
    <w:p w:rsidR="00DD717C" w:rsidRDefault="00DD717C" w:rsidP="00173A69"/>
    <w:p w:rsidR="00464246" w:rsidRPr="00602782" w:rsidRDefault="00464246" w:rsidP="00173A69">
      <w:pPr>
        <w:pBdr>
          <w:bottom w:val="single" w:sz="8" w:space="1" w:color="C00000"/>
        </w:pBdr>
      </w:pPr>
      <w:r>
        <w:t xml:space="preserve">L’intérêt du </w:t>
      </w:r>
      <w:r w:rsidR="00F811D7">
        <w:t>SNDS</w:t>
      </w:r>
      <w:r>
        <w:t xml:space="preserve"> </w:t>
      </w:r>
      <w:r w:rsidR="003B1301">
        <w:t xml:space="preserve"> </w:t>
      </w:r>
      <w:bookmarkStart w:id="0" w:name="_GoBack"/>
      <w:bookmarkEnd w:id="0"/>
    </w:p>
    <w:p w:rsidR="00446D9A" w:rsidRDefault="00D270BE" w:rsidP="00D270BE">
      <w:r w:rsidRPr="00D270BE">
        <w:t xml:space="preserve">Tout l’intérêt du SNDS réside dans sa capacité de mettre à disposition de la communauté scientifique des données quasi-exhaustive relatives à l’accompagnement sanitaire et médico-social des personnes, avec cette opportunité offerte de multiplier les possibilités de repérage, et de les affiner par l’information apportée par chacune des bases prise individuellement.  </w:t>
      </w:r>
    </w:p>
    <w:sectPr w:rsidR="00446D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F4995"/>
    <w:multiLevelType w:val="hybridMultilevel"/>
    <w:tmpl w:val="6A98ACF6"/>
    <w:lvl w:ilvl="0" w:tplc="36E413F2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3868A7"/>
    <w:multiLevelType w:val="multilevel"/>
    <w:tmpl w:val="12768DC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BF14B64"/>
    <w:multiLevelType w:val="hybridMultilevel"/>
    <w:tmpl w:val="185CF9DA"/>
    <w:lvl w:ilvl="0" w:tplc="F050C3FC">
      <w:start w:val="9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6D4FD3"/>
    <w:multiLevelType w:val="hybridMultilevel"/>
    <w:tmpl w:val="4FF02202"/>
    <w:lvl w:ilvl="0" w:tplc="C9FEAA7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EE4161"/>
    <w:multiLevelType w:val="hybridMultilevel"/>
    <w:tmpl w:val="3F0E628C"/>
    <w:lvl w:ilvl="0" w:tplc="3750690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258"/>
    <w:rsid w:val="00086B1C"/>
    <w:rsid w:val="00102844"/>
    <w:rsid w:val="0011268B"/>
    <w:rsid w:val="00112EA7"/>
    <w:rsid w:val="0011701F"/>
    <w:rsid w:val="001264A2"/>
    <w:rsid w:val="001353D4"/>
    <w:rsid w:val="00173A69"/>
    <w:rsid w:val="001E2E12"/>
    <w:rsid w:val="002224B9"/>
    <w:rsid w:val="002515B4"/>
    <w:rsid w:val="00284B4F"/>
    <w:rsid w:val="002940CF"/>
    <w:rsid w:val="00315EF8"/>
    <w:rsid w:val="003371E2"/>
    <w:rsid w:val="003B1301"/>
    <w:rsid w:val="003B5DF9"/>
    <w:rsid w:val="00446D9A"/>
    <w:rsid w:val="00464246"/>
    <w:rsid w:val="00493C26"/>
    <w:rsid w:val="004A1005"/>
    <w:rsid w:val="0052796D"/>
    <w:rsid w:val="005535D6"/>
    <w:rsid w:val="0057270F"/>
    <w:rsid w:val="00580077"/>
    <w:rsid w:val="005E3ADB"/>
    <w:rsid w:val="006243F6"/>
    <w:rsid w:val="006A236D"/>
    <w:rsid w:val="006F37A6"/>
    <w:rsid w:val="00740B09"/>
    <w:rsid w:val="0074762E"/>
    <w:rsid w:val="007E249D"/>
    <w:rsid w:val="007E4F0B"/>
    <w:rsid w:val="00801E25"/>
    <w:rsid w:val="00807529"/>
    <w:rsid w:val="008111AA"/>
    <w:rsid w:val="0089123E"/>
    <w:rsid w:val="008B4C40"/>
    <w:rsid w:val="008F454F"/>
    <w:rsid w:val="00954409"/>
    <w:rsid w:val="0096511F"/>
    <w:rsid w:val="00965D34"/>
    <w:rsid w:val="009A399C"/>
    <w:rsid w:val="009D5169"/>
    <w:rsid w:val="009F0F97"/>
    <w:rsid w:val="00A07B40"/>
    <w:rsid w:val="00A10F60"/>
    <w:rsid w:val="00A444C1"/>
    <w:rsid w:val="00A914CB"/>
    <w:rsid w:val="00AC5098"/>
    <w:rsid w:val="00AD567A"/>
    <w:rsid w:val="00AD73D3"/>
    <w:rsid w:val="00B1534D"/>
    <w:rsid w:val="00B2689A"/>
    <w:rsid w:val="00B51682"/>
    <w:rsid w:val="00B53370"/>
    <w:rsid w:val="00B859E6"/>
    <w:rsid w:val="00BB36EF"/>
    <w:rsid w:val="00BB3918"/>
    <w:rsid w:val="00C41B82"/>
    <w:rsid w:val="00C94229"/>
    <w:rsid w:val="00CA0030"/>
    <w:rsid w:val="00D143EB"/>
    <w:rsid w:val="00D270BE"/>
    <w:rsid w:val="00D441FA"/>
    <w:rsid w:val="00D76767"/>
    <w:rsid w:val="00DD717C"/>
    <w:rsid w:val="00E129F6"/>
    <w:rsid w:val="00E70258"/>
    <w:rsid w:val="00EA137E"/>
    <w:rsid w:val="00EC0980"/>
    <w:rsid w:val="00ED3E64"/>
    <w:rsid w:val="00F06F62"/>
    <w:rsid w:val="00F16BAC"/>
    <w:rsid w:val="00F2032B"/>
    <w:rsid w:val="00F62545"/>
    <w:rsid w:val="00F665CA"/>
    <w:rsid w:val="00F77250"/>
    <w:rsid w:val="00F80E6F"/>
    <w:rsid w:val="00F811D7"/>
    <w:rsid w:val="00F865CC"/>
    <w:rsid w:val="00F901EF"/>
    <w:rsid w:val="00FC3B27"/>
    <w:rsid w:val="00FE06B8"/>
    <w:rsid w:val="00FF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268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268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D143EB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AC5098"/>
    <w:rPr>
      <w:color w:val="0000FF" w:themeColor="hyperlink"/>
      <w:u w:val="single"/>
    </w:rPr>
  </w:style>
  <w:style w:type="paragraph" w:styleId="Sansinterligne">
    <w:name w:val="No Spacing"/>
    <w:link w:val="SansinterligneCar"/>
    <w:uiPriority w:val="1"/>
    <w:qFormat/>
    <w:rsid w:val="00284B4F"/>
    <w:pPr>
      <w:spacing w:before="120" w:after="120" w:line="360" w:lineRule="auto"/>
      <w:jc w:val="both"/>
    </w:pPr>
    <w:rPr>
      <w:rFonts w:ascii="Calibri" w:eastAsia="Calibri" w:hAnsi="Calibri" w:cs="Calibri"/>
      <w:color w:val="000000"/>
      <w:lang w:eastAsia="fr-FR"/>
    </w:rPr>
  </w:style>
  <w:style w:type="character" w:customStyle="1" w:styleId="SansinterligneCar">
    <w:name w:val="Sans interligne Car"/>
    <w:link w:val="Sansinterligne"/>
    <w:uiPriority w:val="1"/>
    <w:rsid w:val="00284B4F"/>
    <w:rPr>
      <w:rFonts w:ascii="Calibri" w:eastAsia="Calibri" w:hAnsi="Calibri" w:cs="Calibri"/>
      <w:color w:val="000000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80752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268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268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D143EB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AC5098"/>
    <w:rPr>
      <w:color w:val="0000FF" w:themeColor="hyperlink"/>
      <w:u w:val="single"/>
    </w:rPr>
  </w:style>
  <w:style w:type="paragraph" w:styleId="Sansinterligne">
    <w:name w:val="No Spacing"/>
    <w:link w:val="SansinterligneCar"/>
    <w:uiPriority w:val="1"/>
    <w:qFormat/>
    <w:rsid w:val="00284B4F"/>
    <w:pPr>
      <w:spacing w:before="120" w:after="120" w:line="360" w:lineRule="auto"/>
      <w:jc w:val="both"/>
    </w:pPr>
    <w:rPr>
      <w:rFonts w:ascii="Calibri" w:eastAsia="Calibri" w:hAnsi="Calibri" w:cs="Calibri"/>
      <w:color w:val="000000"/>
      <w:lang w:eastAsia="fr-FR"/>
    </w:rPr>
  </w:style>
  <w:style w:type="character" w:customStyle="1" w:styleId="SansinterligneCar">
    <w:name w:val="Sans interligne Car"/>
    <w:link w:val="Sansinterligne"/>
    <w:uiPriority w:val="1"/>
    <w:rsid w:val="00284B4F"/>
    <w:rPr>
      <w:rFonts w:ascii="Calibri" w:eastAsia="Calibri" w:hAnsi="Calibri" w:cs="Calibri"/>
      <w:color w:val="000000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80752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54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1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3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35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9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9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489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928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641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4576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041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8028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5862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0769825">
                                                  <w:marLeft w:val="0"/>
                                                  <w:marRight w:val="0"/>
                                                  <w:marTop w:val="1050"/>
                                                  <w:marBottom w:val="10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4539589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48453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69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nds.gouv.fr/SNDS/Processus-d-acces-aux-donnee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699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INSERM</Company>
  <LinksUpToDate>false</LinksUpToDate>
  <CharactersWithSpaces>4537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Gaylord Boussaud</dc:creator>
  <cp:lastModifiedBy>CNSA</cp:lastModifiedBy>
  <cp:revision>5</cp:revision>
  <dcterms:created xsi:type="dcterms:W3CDTF">2019-05-02T12:02:00Z</dcterms:created>
  <dcterms:modified xsi:type="dcterms:W3CDTF">2019-06-14T09:56:00Z</dcterms:modified>
</cp:coreProperties>
</file>